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pStyle w:val="Title"/>
      </w:pPr>
      <w:bookmarkStart w:id="0" w:colFirst="0" w:name="h.8w0lqgdnf9bg" w:colLast="0"/>
      <w:bookmarkEnd w:id="0"/>
      <w:r w:rsidRPr="00000000" w:rsidR="00000000" w:rsidDel="00000000">
        <w:rPr>
          <w:rtl w:val="0"/>
        </w:rPr>
        <w:t xml:space="preserve">Atelier RDVirtuel juin 2013</w:t>
      </w:r>
    </w:p>
    <w:p w:rsidP="00000000" w:rsidRPr="00000000" w:rsidR="00000000" w:rsidDel="00000000" w:rsidRDefault="00000000">
      <w:pPr>
        <w:pStyle w:val="Heading1"/>
      </w:pPr>
      <w:bookmarkStart w:id="1" w:colFirst="0" w:name="h.qr85cpx7pbhq" w:colLast="0"/>
      <w:bookmarkEnd w:id="1"/>
      <w:r w:rsidRPr="00000000" w:rsidR="00000000" w:rsidDel="00000000">
        <w:rPr>
          <w:rtl w:val="0"/>
        </w:rPr>
        <w:t xml:space="preserve">REL: Ressources éducatives libres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Durée: 45 min, jeudi 8h45</w:t>
      </w:r>
    </w:p>
    <w:p w:rsidP="00000000" w:rsidRPr="00000000" w:rsidR="00000000" w:rsidDel="00000000" w:rsidRDefault="00000000">
      <w:pPr/>
      <w:r w:rsidRPr="00000000" w:rsidR="00000000" w:rsidDel="00000000">
        <w:rPr>
          <w:rtl w:val="0"/>
        </w:rPr>
        <w:t xml:space="preserve">Animateurs: Benoit, Pierre, Steve</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Description</w:t>
      </w:r>
      <w:r w:rsidRPr="00000000" w:rsidR="00000000" w:rsidDel="00000000">
        <w:rPr>
          <w:rtl w:val="0"/>
        </w:rPr>
        <w:t xml:space="preserve"> : Qu’est-ce qu’une ressource éducative libre (REL)? Avantages et inconvénients de ce type de ressources? Devrait-on répertorier les REL? Quelles sont les actions à poser en lien avec les REL? Voilà quelques questions que cet atelier de coconstrution tentera de répondre.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Présentation: </w:t>
      </w:r>
      <w:hyperlink r:id="rId6">
        <w:r w:rsidRPr="00000000" w:rsidR="00000000" w:rsidDel="00000000">
          <w:rPr>
            <w:color w:val="1155cc"/>
            <w:u w:val="single"/>
            <w:rtl w:val="0"/>
          </w:rPr>
          <w:t xml:space="preserve">https://docs.google.com/presentation/d/1DkBKaFVNQNk9onCXg7fXdCYcaGbWFFmmmc27TSFvrKg/edit?usp=sharing</w:t>
        </w:r>
      </w:hyperlink>
      <w:r w:rsidRPr="00000000" w:rsidR="00000000" w:rsidDel="00000000">
        <w:rPr>
          <w:color w:val="1155cc"/>
          <w:u w:val="single"/>
          <w:rtl w:val="0"/>
        </w:rPr>
        <w:t xml:space="preserve"> </w:t>
      </w:r>
      <w:r w:rsidRPr="00000000" w:rsidR="00000000" w:rsidDel="00000000">
        <w:rPr>
          <w:rtl w:val="0"/>
        </w:rPr>
      </w:r>
    </w:p>
    <w:p w:rsidP="00000000" w:rsidRPr="00000000" w:rsidR="00000000" w:rsidDel="00000000" w:rsidRDefault="00000000">
      <w:pPr>
        <w:pStyle w:val="Heading2"/>
      </w:pPr>
      <w:bookmarkStart w:id="2" w:colFirst="0" w:name="h.ri4p5es8ys8" w:colLast="0"/>
      <w:bookmarkEnd w:id="2"/>
      <w:r w:rsidRPr="00000000" w:rsidR="00000000" w:rsidDel="00000000">
        <w:rPr>
          <w:rtl w:val="0"/>
        </w:rPr>
        <w:t xml:space="preserve">Plan de l’atelier</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8"/>
          <w:rtl w:val="0"/>
        </w:rPr>
        <w:t xml:space="preserve">1- Introduction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sz w:val="24"/>
          <w:rtl w:val="0"/>
        </w:rPr>
        <w:t xml:space="preserve">2- C’est quoi? (10 min)</w:t>
      </w:r>
    </w:p>
    <w:p w:rsidP="00000000" w:rsidRPr="00000000" w:rsidR="00000000" w:rsidDel="00000000" w:rsidRDefault="00000000">
      <w:pPr>
        <w:numPr>
          <w:ilvl w:val="0"/>
          <w:numId w:val="1"/>
        </w:numPr>
        <w:ind w:left="720" w:hanging="359"/>
      </w:pPr>
      <w:hyperlink r:id="rId7">
        <w:r w:rsidRPr="00000000" w:rsidR="00000000" w:rsidDel="00000000">
          <w:rPr>
            <w:color w:val="1155cc"/>
            <w:u w:val="single"/>
            <w:rtl w:val="0"/>
          </w:rPr>
          <w:t xml:space="preserve">Définition</w:t>
        </w:r>
      </w:hyperlink>
      <w:r w:rsidRPr="00000000" w:rsidR="00000000" w:rsidDel="00000000">
        <w:rPr>
          <w:rtl w:val="0"/>
        </w:rPr>
        <w:t xml:space="preserve">, contenus et applications</w:t>
      </w:r>
    </w:p>
    <w:p w:rsidP="00000000" w:rsidRPr="00000000" w:rsidR="00000000" w:rsidDel="00000000" w:rsidRDefault="00000000">
      <w:pPr>
        <w:numPr>
          <w:ilvl w:val="0"/>
          <w:numId w:val="1"/>
        </w:numPr>
        <w:ind w:left="720" w:hanging="359"/>
      </w:pPr>
      <w:hyperlink r:id="rId8">
        <w:r w:rsidRPr="00000000" w:rsidR="00000000" w:rsidDel="00000000">
          <w:rPr>
            <w:color w:val="1155cc"/>
            <w:u w:val="single"/>
            <w:rtl w:val="0"/>
          </w:rPr>
          <w:t xml:space="preserve">L’UNESCO</w:t>
        </w:r>
      </w:hyperlink>
      <w:r w:rsidRPr="00000000" w:rsidR="00000000" w:rsidDel="00000000">
        <w:rPr>
          <w:rtl w:val="0"/>
        </w:rPr>
        <w:t xml:space="preserve"> </w:t>
      </w:r>
      <w:r w:rsidRPr="00000000" w:rsidR="00000000" w:rsidDel="00000000">
        <w:rPr>
          <w:rtl w:val="0"/>
        </w:rPr>
        <w:t xml:space="preserve">C’est gratuit? oui, mais …  </w:t>
      </w:r>
    </w:p>
    <w:p w:rsidP="00000000" w:rsidRPr="00000000" w:rsidR="00000000" w:rsidDel="00000000" w:rsidRDefault="00000000">
      <w:pPr>
        <w:numPr>
          <w:ilvl w:val="0"/>
          <w:numId w:val="1"/>
        </w:numPr>
        <w:ind w:left="720" w:hanging="359"/>
      </w:pPr>
      <w:r w:rsidRPr="00000000" w:rsidR="00000000" w:rsidDel="00000000">
        <w:rPr>
          <w:rtl w:val="0"/>
        </w:rPr>
        <w:t xml:space="preserve">Des exemples de REL : </w:t>
      </w:r>
      <w:hyperlink r:id="rId9">
        <w:r w:rsidRPr="00000000" w:rsidR="00000000" w:rsidDel="00000000">
          <w:rPr>
            <w:color w:val="1155cc"/>
            <w:u w:val="single"/>
            <w:rtl w:val="0"/>
          </w:rPr>
          <w:t xml:space="preserve">http://recit.org/le-libre-c-est-plus</w:t>
        </w:r>
      </w:hyperlink>
      <w:r w:rsidRPr="00000000" w:rsidR="00000000" w:rsidDel="00000000">
        <w:rPr>
          <w:rtl w:val="0"/>
        </w:rPr>
        <w:t xml:space="preserve"> (un billet à propos du libre)</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tbl>
      <w:tblPr>
        <w:tblW w:w="11106.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2776"/>
        <w:gridCol w:w="2776"/>
        <w:gridCol w:w="2776"/>
        <w:gridCol w:w="2776"/>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Avantages</w:t>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rtl w:val="0"/>
              </w:rPr>
              <w:t xml:space="preserve">Inconvénients</w:t>
            </w:r>
          </w:p>
        </w:tc>
      </w:tr>
      <w:tr>
        <w:tc>
          <w:tcPr>
            <w:tcMar>
              <w:top w:w="100.0" w:type="dxa"/>
              <w:left w:w="100.0" w:type="dxa"/>
              <w:bottom w:w="100.0" w:type="dxa"/>
              <w:right w:w="100.0" w:type="dxa"/>
            </w:tcMar>
          </w:tcPr>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Un plus pour les enseignants, coconstruction, partage</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Facilite l’accès</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Bon pour les budgets</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REL ont beaucoup de liens avec l’éducation, philosophie convergente</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after="0" w:line="240" w:before="0"/>
              <w:ind w:left="720" w:hanging="359"/>
            </w:pPr>
            <w:r w:rsidRPr="00000000" w:rsidR="00000000" w:rsidDel="00000000">
              <w:rPr>
                <w:rtl w:val="0"/>
              </w:rPr>
              <w:t xml:space="preserve"> </w:t>
            </w:r>
          </w:p>
        </w:tc>
        <w:tc>
          <w:tcPr>
            <w:tcMar>
              <w:top w:w="100.0" w:type="dxa"/>
              <w:left w:w="100.0" w:type="dxa"/>
              <w:bottom w:w="100.0" w:type="dxa"/>
              <w:right w:w="100.0" w:type="dxa"/>
            </w:tcMar>
          </w:tcPr>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Vérification des droits sur les documents utilisés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Dans le cadre de la mesure sur l’achat des ressources numériques, les récit locaux et nationaux ont eu de la difficulté à trouver des ressources de qualité payantes</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Qualité du “produit” pas toujours vérifiée.</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p w:rsidP="00000000" w:rsidRPr="00000000" w:rsidR="00000000" w:rsidDel="00000000" w:rsidRDefault="00000000">
            <w:pPr>
              <w:numPr>
                <w:ilvl w:val="0"/>
                <w:numId w:val="4"/>
              </w:numPr>
              <w:spacing w:lineRule="auto" w:line="240"/>
              <w:ind w:left="720" w:hanging="359"/>
            </w:pPr>
            <w:r w:rsidRPr="00000000" w:rsidR="00000000" w:rsidDel="00000000">
              <w:rPr>
                <w:rtl w:val="0"/>
              </w:rPr>
              <w:t xml:space="preserve"> </w:t>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Verdana" w:hAnsi="Verdana" w:eastAsia="Verdana" w:ascii="Verdana"/>
          <w:b w:val="1"/>
          <w:sz w:val="20"/>
          <w:highlight w:val="white"/>
          <w:rtl w:val="0"/>
        </w:rPr>
        <w:t xml:space="preserve">De contenu libre…</w:t>
      </w:r>
      <w:r w:rsidRPr="00000000" w:rsidR="00000000" w:rsidDel="00000000">
        <w:rPr>
          <w:rtl w:val="0"/>
        </w:rPr>
      </w:r>
    </w:p>
    <w:tbl>
      <w:tblPr>
        <w:tblW w:w="11265.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080"/>
        <w:gridCol w:w="2865"/>
        <w:gridCol w:w="4320"/>
      </w:tblGrid>
      <w:tr>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Titre/lien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b w:val="1"/>
                <w:rtl w:val="0"/>
              </w:rPr>
              <w:t xml:space="preserve">Qui</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firstLine="0"/>
            </w:pPr>
            <w:r w:rsidRPr="00000000" w:rsidR="00000000" w:rsidDel="00000000">
              <w:rPr>
                <w:b w:val="1"/>
                <w:rtl w:val="0"/>
              </w:rPr>
              <w:t xml:space="preserve">Description</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0">
              <w:r w:rsidRPr="00000000" w:rsidR="00000000" w:rsidDel="00000000">
                <w:rPr>
                  <w:color w:val="1155cc"/>
                  <w:u w:val="single"/>
                  <w:rtl w:val="0"/>
                </w:rPr>
                <w:t xml:space="preserve">Banque d’images en histoire et géo</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Banque d’images en histoire et géographie sous licence Creative Commons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1">
              <w:r w:rsidRPr="00000000" w:rsidR="00000000" w:rsidDel="00000000">
                <w:rPr>
                  <w:color w:val="1155cc"/>
                  <w:u w:val="single"/>
                  <w:rtl w:val="0"/>
                </w:rPr>
                <w:t xml:space="preserve">Images libres</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préscolaire</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Réservées à une utilisation scolaire non commerciale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2">
              <w:r w:rsidRPr="00000000" w:rsidR="00000000" w:rsidDel="00000000">
                <w:rPr>
                  <w:color w:val="1155cc"/>
                  <w:u w:val="single"/>
                  <w:rtl w:val="0"/>
                </w:rPr>
                <w:t xml:space="preserve">BIL</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MST</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Banque d’images en MST</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3">
              <w:r w:rsidRPr="00000000" w:rsidR="00000000" w:rsidDel="00000000">
                <w:rPr>
                  <w:color w:val="1155cc"/>
                  <w:u w:val="single"/>
                  <w:rtl w:val="0"/>
                </w:rPr>
                <w:t xml:space="preserve">Situation d’apprentissage en univers social</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Situations pour le primaire et le secondaire</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4">
              <w:r w:rsidRPr="00000000" w:rsidR="00000000" w:rsidDel="00000000">
                <w:rPr>
                  <w:color w:val="1155cc"/>
                  <w:u w:val="single"/>
                  <w:rtl w:val="0"/>
                </w:rPr>
                <w:t xml:space="preserve">Sociétés et Territoires</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Textes, images, vidéos en histoire du Québec et de Canada.</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5">
              <w:r w:rsidRPr="00000000" w:rsidR="00000000" w:rsidDel="00000000">
                <w:rPr>
                  <w:color w:val="1155cc"/>
                  <w:u w:val="single"/>
                  <w:rtl w:val="0"/>
                </w:rPr>
                <w:t xml:space="preserve">Banque d’images du McCord</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Musée McCord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Banque de 130 000 images sur l’histoire du Québec et du Canada sous licence Creative commons.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6">
              <w:r w:rsidRPr="00000000" w:rsidR="00000000" w:rsidDel="00000000">
                <w:rPr>
                  <w:color w:val="1155cc"/>
                  <w:u w:val="single"/>
                  <w:rtl w:val="0"/>
                </w:rPr>
                <w:t xml:space="preserve">Le monde en images</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CCMD</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Banque d’images pour l’éducation sous licence Creative commons.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7">
              <w:r w:rsidRPr="00000000" w:rsidR="00000000" w:rsidDel="00000000">
                <w:rPr>
                  <w:color w:val="1155cc"/>
                  <w:u w:val="single"/>
                  <w:rtl w:val="0"/>
                </w:rPr>
                <w:t xml:space="preserve">Carrefour éducation (multimédia)</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Carrefour éducation</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Listes de sites offrant des REL</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18">
              <w:r w:rsidRPr="00000000" w:rsidR="00000000" w:rsidDel="00000000">
                <w:rPr>
                  <w:color w:val="1155cc"/>
                  <w:u w:val="single"/>
                  <w:rtl w:val="0"/>
                </w:rPr>
                <w:t xml:space="preserve">Caméléon.tv</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Une initiative de la CSSMI, mais accessible par toutes les cs. L’expertise des personnes ressources du Récit sera appréciée pour enrichir cette plateforme afin qu’elle réponde aux besoins du milieu.</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Plateforme d’apprentissage en ligne destinée à tous les intervenants scolaires.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Verdana" w:hAnsi="Verdana" w:eastAsia="Verdana" w:ascii="Verdana"/>
          <w:b w:val="1"/>
          <w:sz w:val="20"/>
          <w:highlight w:val="white"/>
          <w:rtl w:val="0"/>
        </w:rPr>
        <w:t xml:space="preserve">D'espaces de création, de publication et de collaboration…</w:t>
      </w:r>
      <w:r w:rsidRPr="00000000" w:rsidR="00000000" w:rsidDel="00000000">
        <w:rPr>
          <w:rtl w:val="0"/>
        </w:rPr>
      </w:r>
    </w:p>
    <w:tbl>
      <w:tblPr>
        <w:tblW w:w="11220.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080"/>
        <w:gridCol w:w="2850"/>
        <w:gridCol w:w="4290"/>
        <w:gridCol w:w="-38"/>
        <w:gridCol w:w="-38"/>
        <w:gridCol w:w="-38"/>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Titre/lien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Qui</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Description</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19">
              <w:r w:rsidRPr="00000000" w:rsidR="00000000" w:rsidDel="00000000">
                <w:rPr>
                  <w:color w:val="1155cc"/>
                  <w:u w:val="single"/>
                  <w:rtl w:val="0"/>
                </w:rPr>
                <w:t xml:space="preserve">Baladoweb</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langues</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Espace de diffusion de balados produits par des élèves</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20">
              <w:r w:rsidRPr="00000000" w:rsidR="00000000" w:rsidDel="00000000">
                <w:rPr>
                  <w:color w:val="1155cc"/>
                  <w:u w:val="single"/>
                  <w:rtl w:val="0"/>
                </w:rPr>
                <w:t xml:space="preserve">Epad.recit.org</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MST</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Éditeur de texte collaboratif utilisant Etherpad</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21">
              <w:r w:rsidRPr="00000000" w:rsidR="00000000" w:rsidDel="00000000">
                <w:rPr>
                  <w:color w:val="1155cc"/>
                  <w:u w:val="single"/>
                  <w:rtl w:val="0"/>
                </w:rPr>
                <w:t xml:space="preserve">Moodle FGA</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régional FGA Montérégie</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Outil de création et de gestion de cours en ligne</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22">
              <w:r w:rsidRPr="00000000" w:rsidR="00000000" w:rsidDel="00000000">
                <w:rPr>
                  <w:color w:val="1155cc"/>
                  <w:u w:val="single"/>
                  <w:rtl w:val="0"/>
                </w:rPr>
                <w:t xml:space="preserve">Ligne du temps</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Outil de collaboration et de création de lignes du temps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23">
              <w:r w:rsidRPr="00000000" w:rsidR="00000000" w:rsidDel="00000000">
                <w:rPr>
                  <w:color w:val="1155cc"/>
                  <w:u w:val="single"/>
                  <w:rtl w:val="0"/>
                </w:rPr>
                <w:t xml:space="preserve">Cartograf</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Outil de collaboration et de création de cartes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hyperlink r:id="rId24">
              <w:r w:rsidRPr="00000000" w:rsidR="00000000" w:rsidDel="00000000">
                <w:rPr>
                  <w:color w:val="1155cc"/>
                  <w:u w:val="single"/>
                  <w:rtl w:val="0"/>
                </w:rPr>
                <w:t xml:space="preserve">Cliquez pour moi</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RÉCIT univers social</w:t>
            </w: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t xml:space="preserve">Outil et projet d’élections virtuelles</w:t>
            </w: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Fonts w:cs="Verdana" w:hAnsi="Verdana" w:eastAsia="Verdana" w:ascii="Verdana"/>
          <w:b w:val="1"/>
          <w:sz w:val="20"/>
          <w:highlight w:val="white"/>
          <w:rtl w:val="0"/>
        </w:rPr>
        <w:t xml:space="preserve">D'outils de </w:t>
      </w:r>
      <w:commentRangeStart w:id="0"/>
      <w:r w:rsidRPr="00000000" w:rsidR="00000000" w:rsidDel="00000000">
        <w:rPr>
          <w:rFonts w:cs="Verdana" w:hAnsi="Verdana" w:eastAsia="Verdana" w:ascii="Verdana"/>
          <w:b w:val="1"/>
          <w:sz w:val="20"/>
          <w:highlight w:val="white"/>
          <w:rtl w:val="0"/>
        </w:rPr>
        <w:t xml:space="preserve">réseautage…</w:t>
      </w:r>
      <w:commentRangeEnd w:id="0"/>
      <w:r w:rsidRPr="00000000" w:rsidR="00000000" w:rsidDel="00000000">
        <w:commentReference w:id="0"/>
      </w:r>
      <w:r w:rsidRPr="00000000" w:rsidR="00000000" w:rsidDel="00000000">
        <w:rPr>
          <w:rtl w:val="0"/>
        </w:rPr>
      </w:r>
    </w:p>
    <w:tbl>
      <w:tblPr>
        <w:tblW w:w="11265.0" w:type="dxa"/>
        <w:tblBorders>
          <w:top w:color="000000" w:space="0" w:val="single" w:sz="8"/>
          <w:left w:color="000000" w:space="0" w:val="single" w:sz="8"/>
          <w:bottom w:color="000000" w:space="0" w:val="single" w:sz="8"/>
          <w:right w:color="000000" w:space="0" w:val="single" w:sz="8"/>
          <w:insideH w:color="000000" w:space="0" w:val="single" w:sz="8"/>
          <w:insideV w:color="000000" w:space="0" w:val="single" w:sz="8"/>
        </w:tblBorders>
        <w:tblLayout w:type="fixed"/>
      </w:tblPr>
      <w:tblGrid>
        <w:gridCol w:w="4080"/>
        <w:gridCol w:w="3150"/>
        <w:gridCol w:w="4035"/>
      </w:tblGrid>
      <w:tr>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Titre/lien</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Qui</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b w:val="1"/>
                <w:rtl w:val="0"/>
              </w:rPr>
              <w:t xml:space="preserve">Description</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25">
              <w:r w:rsidRPr="00000000" w:rsidR="00000000" w:rsidDel="00000000">
                <w:rPr>
                  <w:color w:val="1155cc"/>
                  <w:u w:val="single"/>
                  <w:rtl w:val="0"/>
                </w:rPr>
                <w:t xml:space="preserve">Classe micro</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MST</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Environnement de microblogue «privé» pour les classes</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26">
              <w:r w:rsidRPr="00000000" w:rsidR="00000000" w:rsidDel="00000000">
                <w:rPr>
                  <w:color w:val="1155cc"/>
                  <w:u w:val="single"/>
                  <w:rtl w:val="0"/>
                </w:rPr>
                <w:t xml:space="preserve">Mon URL</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DP</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Réducteur d’URL personnalisable générant un code QR</w:t>
            </w:r>
          </w:p>
        </w:tc>
      </w:tr>
      <w:tr>
        <w:tc>
          <w:tcPr>
            <w:tcMar>
              <w:top w:w="100.0" w:type="dxa"/>
              <w:left w:w="100.0" w:type="dxa"/>
              <w:bottom w:w="100.0" w:type="dxa"/>
              <w:right w:w="100.0" w:type="dxa"/>
            </w:tcMar>
          </w:tcPr>
          <w:p w:rsidP="00000000" w:rsidRPr="00000000" w:rsidR="00000000" w:rsidDel="00000000" w:rsidRDefault="00000000">
            <w:pPr>
              <w:spacing w:lineRule="auto" w:line="240"/>
            </w:pPr>
            <w:hyperlink r:id="rId27">
              <w:r w:rsidRPr="00000000" w:rsidR="00000000" w:rsidDel="00000000">
                <w:rPr>
                  <w:color w:val="1155cc"/>
                  <w:u w:val="single"/>
                  <w:rtl w:val="0"/>
                </w:rPr>
                <w:t xml:space="preserve">Répertoire PPO</w:t>
              </w:r>
            </w:hyperlink>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RÉCIT Dév. professionnel</w:t>
            </w:r>
          </w:p>
        </w:tc>
        <w:tc>
          <w:tcPr>
            <w:tcMar>
              <w:top w:w="100.0" w:type="dxa"/>
              <w:left w:w="100.0" w:type="dxa"/>
              <w:bottom w:w="100.0" w:type="dxa"/>
              <w:right w:w="100.0" w:type="dxa"/>
            </w:tcMar>
          </w:tcPr>
          <w:p w:rsidP="00000000" w:rsidRPr="00000000" w:rsidR="00000000" w:rsidDel="00000000" w:rsidRDefault="00000000">
            <w:pPr>
              <w:spacing w:lineRule="auto" w:line="240"/>
            </w:pPr>
            <w:r w:rsidRPr="00000000" w:rsidR="00000000" w:rsidDel="00000000">
              <w:rPr>
                <w:rtl w:val="0"/>
              </w:rPr>
              <w:t xml:space="preserve">Blogue pour les élèves du programme PPO</w:t>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r>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c>
          <w:tcPr>
            <w:tcMar>
              <w:top w:w="100.0" w:type="dxa"/>
              <w:left w:w="100.0" w:type="dxa"/>
              <w:bottom w:w="100.0" w:type="dxa"/>
              <w:right w:w="100.0" w:type="dxa"/>
            </w:tcMar>
          </w:tcPr>
          <w:p w:rsidP="00000000" w:rsidRPr="00000000" w:rsidR="00000000" w:rsidDel="00000000" w:rsidRDefault="00000000">
            <w:pPr>
              <w:spacing w:lineRule="auto" w:after="0" w:line="240" w:before="0"/>
              <w:ind w:left="0" w:firstLine="0" w:right="0"/>
              <w:jc w:val="left"/>
            </w:pPr>
            <w:r w:rsidRPr="00000000" w:rsidR="00000000" w:rsidDel="00000000">
              <w:rPr>
                <w:rtl w:val="0"/>
              </w:rPr>
            </w:r>
          </w:p>
        </w:tc>
      </w:tr>
    </w:tbl>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2"/>
      </w:pPr>
      <w:bookmarkStart w:id="3" w:colFirst="0" w:name="h.cykjf5syq9v5" w:colLast="0"/>
      <w:bookmarkEnd w:id="3"/>
      <w:r w:rsidRPr="00000000" w:rsidR="00000000" w:rsidDel="00000000">
        <w:rPr>
          <w:rtl w:val="0"/>
        </w:rPr>
        <w:t xml:space="preserve">3 - </w:t>
      </w:r>
      <w:r w:rsidRPr="00000000" w:rsidR="00000000" w:rsidDel="00000000">
        <w:rPr>
          <w:rtl w:val="0"/>
        </w:rPr>
        <w:t xml:space="preserve">Pourquoi?  </w:t>
      </w:r>
    </w:p>
    <w:p w:rsidP="00000000" w:rsidRPr="00000000" w:rsidR="00000000" w:rsidDel="00000000" w:rsidRDefault="00000000">
      <w:pPr>
        <w:numPr>
          <w:ilvl w:val="0"/>
          <w:numId w:val="3"/>
        </w:numPr>
        <w:ind w:left="720" w:hanging="359"/>
      </w:pPr>
      <w:r w:rsidRPr="00000000" w:rsidR="00000000" w:rsidDel="00000000">
        <w:rPr>
          <w:rtl w:val="0"/>
        </w:rPr>
        <w:t xml:space="preserve">Avantages et inconvénients</w:t>
      </w:r>
    </w:p>
    <w:p w:rsidP="00000000" w:rsidRPr="00000000" w:rsidR="00000000" w:rsidDel="00000000" w:rsidRDefault="00000000">
      <w:pPr>
        <w:numPr>
          <w:ilvl w:val="1"/>
          <w:numId w:val="3"/>
        </w:numPr>
        <w:ind w:left="1440" w:hanging="359"/>
      </w:pPr>
      <w:r w:rsidRPr="00000000" w:rsidR="00000000" w:rsidDel="00000000">
        <w:rPr>
          <w:rtl w:val="0"/>
        </w:rPr>
        <w:t xml:space="preserve">Avantages : </w:t>
      </w:r>
    </w:p>
    <w:p w:rsidP="00000000" w:rsidRPr="00000000" w:rsidR="00000000" w:rsidDel="00000000" w:rsidRDefault="00000000">
      <w:pPr>
        <w:ind w:left="720" w:firstLine="0"/>
      </w:pPr>
      <w:r w:rsidRPr="00000000" w:rsidR="00000000" w:rsidDel="00000000">
        <w:rPr>
          <w:rtl w:val="0"/>
        </w:rPr>
        <w:tab/>
        <w:t xml:space="preserve">- “Gratuites” ?</w:t>
      </w:r>
    </w:p>
    <w:p w:rsidP="00000000" w:rsidRPr="00000000" w:rsidR="00000000" w:rsidDel="00000000" w:rsidRDefault="00000000">
      <w:pPr>
        <w:ind w:left="720" w:firstLine="0"/>
      </w:pPr>
      <w:r w:rsidRPr="00000000" w:rsidR="00000000" w:rsidDel="00000000">
        <w:rPr>
          <w:rtl w:val="0"/>
        </w:rPr>
        <w:tab/>
        <w:t xml:space="preserve">- Ouvertes à la modification </w:t>
      </w:r>
    </w:p>
    <w:p w:rsidP="00000000" w:rsidRPr="00000000" w:rsidR="00000000" w:rsidDel="00000000" w:rsidRDefault="00000000">
      <w:pPr>
        <w:ind w:left="720" w:firstLine="0"/>
      </w:pPr>
      <w:r w:rsidRPr="00000000" w:rsidR="00000000" w:rsidDel="00000000">
        <w:rPr>
          <w:rtl w:val="0"/>
        </w:rPr>
        <w:tab/>
        <w:t xml:space="preserve">- Amènent à la CRÉATION, non à la simple utilisation de ressources achetées et souvent, NON MODIFIABLES.........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1"/>
          <w:numId w:val="3"/>
        </w:numPr>
        <w:ind w:left="1440" w:hanging="359"/>
      </w:pPr>
      <w:r w:rsidRPr="00000000" w:rsidR="00000000" w:rsidDel="00000000">
        <w:rPr>
          <w:rtl w:val="0"/>
        </w:rPr>
        <w:t xml:space="preserve">Inconvénients :</w:t>
      </w:r>
    </w:p>
    <w:p w:rsidP="00000000" w:rsidRPr="00000000" w:rsidR="00000000" w:rsidDel="00000000" w:rsidRDefault="00000000">
      <w:pPr>
        <w:ind w:left="720" w:firstLine="0"/>
      </w:pPr>
      <w:r w:rsidRPr="00000000" w:rsidR="00000000" w:rsidDel="00000000">
        <w:rPr>
          <w:rtl w:val="0"/>
        </w:rPr>
        <w:tab/>
        <w:t xml:space="preserve">- Trop souvent, les gens ont tendance à comparer le “contenant”, pas le contenu.... (en rapport   avec des ressources payantes, dans lesquelles on attire les gens par le “graphisme somptueux”...).</w:t>
      </w:r>
    </w:p>
    <w:p w:rsidP="00000000" w:rsidRPr="00000000" w:rsidR="00000000" w:rsidDel="00000000" w:rsidRDefault="00000000">
      <w:pPr>
        <w:ind w:left="720" w:firstLine="0"/>
      </w:pPr>
      <w:r w:rsidRPr="00000000" w:rsidR="00000000" w:rsidDel="00000000">
        <w:rPr>
          <w:rtl w:val="0"/>
        </w:rPr>
        <w:tab/>
        <w:t xml:space="preserve">- </w:t>
      </w:r>
      <w:r w:rsidRPr="00000000" w:rsidR="00000000" w:rsidDel="00000000">
        <w:rPr>
          <w:color w:val="ff0000"/>
          <w:rtl w:val="0"/>
        </w:rPr>
        <w:t xml:space="preserve">Il faut les RÉPERTORIER</w:t>
      </w:r>
      <w:r w:rsidRPr="00000000" w:rsidR="00000000" w:rsidDel="00000000">
        <w:rPr>
          <w:rtl w:val="0"/>
        </w:rPr>
        <w:t xml:space="preserve"> pour nos profs, leur donner une “façade accessible”, en parler....</w:t>
      </w:r>
    </w:p>
    <w:p w:rsidP="00000000" w:rsidRPr="00000000" w:rsidR="00000000" w:rsidDel="00000000" w:rsidRDefault="00000000">
      <w:pPr>
        <w:ind w:left="720" w:firstLine="0"/>
      </w:pPr>
      <w:r w:rsidRPr="00000000" w:rsidR="00000000" w:rsidDel="00000000">
        <w:rPr>
          <w:rtl w:val="0"/>
        </w:rPr>
        <w:tab/>
        <w:t xml:space="preserve">- La mesure 5068X est un peu à l’opposé de ce que l’on prône ici... les $$$ sont si accessibles en éducation ?</w:t>
      </w:r>
    </w:p>
    <w:p w:rsidP="00000000" w:rsidRPr="00000000" w:rsidR="00000000" w:rsidDel="00000000" w:rsidRDefault="00000000">
      <w:pPr>
        <w:ind w:left="720" w:firstLine="0"/>
      </w:pPr>
      <w:r w:rsidRPr="00000000" w:rsidR="00000000" w:rsidDel="00000000">
        <w:rPr>
          <w:rtl w:val="0"/>
        </w:rPr>
        <w:tab/>
      </w:r>
    </w:p>
    <w:p w:rsidP="00000000" w:rsidRPr="00000000" w:rsidR="00000000" w:rsidDel="00000000" w:rsidRDefault="00000000">
      <w:pPr>
        <w:ind w:left="720" w:firstLine="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numPr>
          <w:ilvl w:val="0"/>
          <w:numId w:val="3"/>
        </w:numPr>
        <w:ind w:left="720" w:hanging="359"/>
      </w:pPr>
      <w:r w:rsidRPr="00000000" w:rsidR="00000000" w:rsidDel="00000000">
        <w:rPr>
          <w:rtl w:val="0"/>
        </w:rPr>
        <w:t xml:space="preserve">L’apprentissage, le savoir, l’éducation, un bien universel qui doit être accessible.</w:t>
      </w:r>
    </w:p>
    <w:p w:rsidP="00000000" w:rsidRPr="00000000" w:rsidR="00000000" w:rsidDel="00000000" w:rsidRDefault="00000000">
      <w:pPr>
        <w:numPr>
          <w:ilvl w:val="0"/>
          <w:numId w:val="3"/>
        </w:numPr>
        <w:ind w:left="720" w:hanging="359"/>
      </w:pPr>
      <w:r w:rsidRPr="00000000" w:rsidR="00000000" w:rsidDel="00000000">
        <w:rPr>
          <w:rtl w:val="0"/>
        </w:rPr>
        <w:t xml:space="preserve">Le numérique et la nécessité de modifier, remixer, diffuser pour apprendre. Pourquoi ce modèle est actuellement incompatible avec l’approche des maisons d’édition?</w:t>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2"/>
      </w:pPr>
      <w:bookmarkStart w:id="4" w:colFirst="0" w:name="h.yt2cj7ug0da3" w:colLast="0"/>
      <w:bookmarkEnd w:id="4"/>
      <w:r w:rsidRPr="00000000" w:rsidR="00000000" w:rsidDel="00000000">
        <w:rPr>
          <w:rtl w:val="0"/>
        </w:rPr>
        <w:t xml:space="preserve">4 - On répertorie... ou non?</w:t>
      </w:r>
    </w:p>
    <w:p w:rsidP="00000000" w:rsidRPr="00000000" w:rsidR="00000000" w:rsidDel="00000000" w:rsidRDefault="00000000">
      <w:pPr>
        <w:numPr>
          <w:ilvl w:val="0"/>
          <w:numId w:val="5"/>
        </w:numPr>
        <w:ind w:left="720" w:hanging="359"/>
      </w:pPr>
      <w:r w:rsidRPr="00000000" w:rsidR="00000000" w:rsidDel="00000000">
        <w:rPr>
          <w:rtl w:val="0"/>
        </w:rPr>
        <w:t xml:space="preserve">Faut-il un répertoire?  Contribuer à un répertoire existant?  Répertoire public? ABSOLUMENT, c’est LA condition pour les mettre en valeur. Un nom de domaine par exemple : </w:t>
      </w:r>
      <w:hyperlink r:id="rId28">
        <w:r w:rsidRPr="00000000" w:rsidR="00000000" w:rsidDel="00000000">
          <w:rPr>
            <w:color w:val="1155cc"/>
            <w:u w:val="single"/>
            <w:rtl w:val="0"/>
          </w:rPr>
          <w:t xml:space="preserve">www.ressourceslibres.com</w:t>
        </w:r>
      </w:hyperlink>
      <w:r w:rsidRPr="00000000" w:rsidR="00000000" w:rsidDel="00000000">
        <w:rPr>
          <w:rtl w:val="0"/>
        </w:rPr>
        <w:t xml:space="preserve"> est disponible :-)</w:t>
      </w:r>
    </w:p>
    <w:p w:rsidP="00000000" w:rsidRPr="00000000" w:rsidR="00000000" w:rsidDel="00000000" w:rsidRDefault="00000000">
      <w:pPr>
        <w:numPr>
          <w:ilvl w:val="0"/>
          <w:numId w:val="5"/>
        </w:numPr>
        <w:ind w:left="720" w:hanging="359"/>
      </w:pPr>
      <w:r w:rsidRPr="00000000" w:rsidR="00000000" w:rsidDel="00000000">
        <w:rPr>
          <w:rtl w:val="0"/>
        </w:rPr>
        <w:t xml:space="preserve">Si oui, qu’avons-nous besoin? Des catégories? Des mots-clés?</w:t>
      </w:r>
    </w:p>
    <w:p w:rsidP="00000000" w:rsidRPr="00000000" w:rsidR="00000000" w:rsidDel="00000000" w:rsidRDefault="00000000">
      <w:pPr>
        <w:numPr>
          <w:ilvl w:val="0"/>
          <w:numId w:val="5"/>
        </w:numPr>
        <w:ind w:left="720" w:hanging="359"/>
      </w:pPr>
      <w:r w:rsidRPr="00000000" w:rsidR="00000000" w:rsidDel="00000000">
        <w:rPr>
          <w:rtl w:val="0"/>
        </w:rPr>
        <w:t xml:space="preserve">Toujours avantageux de contribuer à des répertoires existants on ne recrée pas la roue.</w:t>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2"/>
      </w:pPr>
      <w:bookmarkStart w:id="5" w:colFirst="0" w:name="h.n5pm2a47hfjj" w:colLast="0"/>
      <w:bookmarkEnd w:id="5"/>
      <w:r w:rsidRPr="00000000" w:rsidR="00000000" w:rsidDel="00000000">
        <w:rPr>
          <w:rtl w:val="0"/>
        </w:rPr>
        <w:t xml:space="preserve">5- Actions...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Valoriser ressources existantes</w:t>
      </w:r>
    </w:p>
    <w:p w:rsidP="00000000" w:rsidRPr="00000000" w:rsidR="00000000" w:rsidDel="00000000" w:rsidRDefault="00000000">
      <w:pPr>
        <w:numPr>
          <w:ilvl w:val="1"/>
          <w:numId w:val="2"/>
        </w:numPr>
        <w:ind w:left="1440" w:hanging="359"/>
      </w:pPr>
      <w:r w:rsidRPr="00000000" w:rsidR="00000000" w:rsidDel="00000000">
        <w:rPr>
          <w:rtl w:val="0"/>
        </w:rPr>
        <w:t xml:space="preserve">Qui?</w:t>
      </w:r>
    </w:p>
    <w:p w:rsidP="00000000" w:rsidRPr="00000000" w:rsidR="00000000" w:rsidDel="00000000" w:rsidRDefault="00000000">
      <w:pPr>
        <w:numPr>
          <w:ilvl w:val="1"/>
          <w:numId w:val="2"/>
        </w:numPr>
        <w:ind w:left="1440" w:hanging="359"/>
      </w:pPr>
      <w:r w:rsidRPr="00000000" w:rsidR="00000000" w:rsidDel="00000000">
        <w:rPr>
          <w:rtl w:val="0"/>
        </w:rPr>
        <w:t xml:space="preserve">Quoi?</w:t>
      </w:r>
    </w:p>
    <w:p w:rsidP="00000000" w:rsidRPr="00000000" w:rsidR="00000000" w:rsidDel="00000000" w:rsidRDefault="00000000">
      <w:pPr>
        <w:numPr>
          <w:ilvl w:val="1"/>
          <w:numId w:val="2"/>
        </w:numPr>
        <w:ind w:left="1440" w:hanging="359"/>
      </w:pPr>
      <w:r w:rsidRPr="00000000" w:rsidR="00000000" w:rsidDel="00000000">
        <w:rPr>
          <w:rtl w:val="0"/>
        </w:rPr>
        <w:t xml:space="preserve">Comment?</w:t>
      </w:r>
    </w:p>
    <w:p w:rsidP="00000000" w:rsidRPr="00000000" w:rsidR="00000000" w:rsidDel="00000000" w:rsidRDefault="00000000">
      <w:pPr>
        <w:numPr>
          <w:ilvl w:val="0"/>
          <w:numId w:val="2"/>
        </w:numPr>
        <w:ind w:left="720" w:hanging="359"/>
      </w:pPr>
      <w:r w:rsidRPr="00000000" w:rsidR="00000000" w:rsidDel="00000000">
        <w:rPr>
          <w:rtl w:val="0"/>
        </w:rPr>
        <w:t xml:space="preserve">Produire des REL</w:t>
      </w:r>
    </w:p>
    <w:p w:rsidP="00000000" w:rsidRPr="00000000" w:rsidR="00000000" w:rsidDel="00000000" w:rsidRDefault="00000000">
      <w:pPr>
        <w:numPr>
          <w:ilvl w:val="1"/>
          <w:numId w:val="2"/>
        </w:numPr>
        <w:ind w:left="1440" w:hanging="359"/>
      </w:pPr>
      <w:r w:rsidRPr="00000000" w:rsidR="00000000" w:rsidDel="00000000">
        <w:rPr>
          <w:rtl w:val="0"/>
        </w:rPr>
        <w:t xml:space="preserve">Qui?</w:t>
      </w:r>
    </w:p>
    <w:p w:rsidP="00000000" w:rsidRPr="00000000" w:rsidR="00000000" w:rsidDel="00000000" w:rsidRDefault="00000000">
      <w:pPr>
        <w:numPr>
          <w:ilvl w:val="1"/>
          <w:numId w:val="2"/>
        </w:numPr>
        <w:ind w:left="1440" w:hanging="359"/>
      </w:pPr>
      <w:r w:rsidRPr="00000000" w:rsidR="00000000" w:rsidDel="00000000">
        <w:rPr>
          <w:rtl w:val="0"/>
        </w:rPr>
        <w:t xml:space="preserve">Quoi? </w:t>
      </w:r>
    </w:p>
    <w:p w:rsidP="00000000" w:rsidRPr="00000000" w:rsidR="00000000" w:rsidDel="00000000" w:rsidRDefault="00000000">
      <w:pPr>
        <w:numPr>
          <w:ilvl w:val="1"/>
          <w:numId w:val="2"/>
        </w:numPr>
        <w:ind w:left="1440" w:hanging="359"/>
      </w:pPr>
      <w:r w:rsidRPr="00000000" w:rsidR="00000000" w:rsidDel="00000000">
        <w:rPr>
          <w:rtl w:val="0"/>
        </w:rPr>
        <w:t xml:space="preserve">Comment?</w:t>
      </w:r>
    </w:p>
    <w:p w:rsidP="00000000" w:rsidRPr="00000000" w:rsidR="00000000" w:rsidDel="00000000" w:rsidRDefault="00000000">
      <w:pPr>
        <w:numPr>
          <w:ilvl w:val="0"/>
          <w:numId w:val="2"/>
        </w:numPr>
        <w:ind w:left="720" w:hanging="359"/>
      </w:pPr>
      <w:r w:rsidRPr="00000000" w:rsidR="00000000" w:rsidDel="00000000">
        <w:rPr>
          <w:rtl w:val="0"/>
        </w:rPr>
        <w:t xml:space="preserve">Influencer les décideurs</w:t>
      </w:r>
    </w:p>
    <w:p w:rsidP="00000000" w:rsidRPr="00000000" w:rsidR="00000000" w:rsidDel="00000000" w:rsidRDefault="00000000">
      <w:pPr>
        <w:numPr>
          <w:ilvl w:val="1"/>
          <w:numId w:val="2"/>
        </w:numPr>
        <w:ind w:left="1440" w:hanging="359"/>
      </w:pPr>
      <w:r w:rsidRPr="00000000" w:rsidR="00000000" w:rsidDel="00000000">
        <w:rPr>
          <w:rtl w:val="0"/>
        </w:rPr>
        <w:t xml:space="preserve">Qui? </w:t>
      </w:r>
    </w:p>
    <w:p w:rsidP="00000000" w:rsidRPr="00000000" w:rsidR="00000000" w:rsidDel="00000000" w:rsidRDefault="00000000">
      <w:pPr>
        <w:numPr>
          <w:ilvl w:val="1"/>
          <w:numId w:val="2"/>
        </w:numPr>
        <w:ind w:left="1440" w:hanging="359"/>
      </w:pPr>
      <w:r w:rsidRPr="00000000" w:rsidR="00000000" w:rsidDel="00000000">
        <w:rPr>
          <w:rtl w:val="0"/>
        </w:rPr>
        <w:t xml:space="preserve">Quoi? </w:t>
      </w:r>
    </w:p>
    <w:p w:rsidP="00000000" w:rsidRPr="00000000" w:rsidR="00000000" w:rsidDel="00000000" w:rsidRDefault="00000000">
      <w:pPr>
        <w:numPr>
          <w:ilvl w:val="1"/>
          <w:numId w:val="2"/>
        </w:numPr>
        <w:ind w:left="1440" w:hanging="359"/>
      </w:pPr>
      <w:r w:rsidRPr="00000000" w:rsidR="00000000" w:rsidDel="00000000">
        <w:rPr>
          <w:rtl w:val="0"/>
        </w:rPr>
        <w:t xml:space="preserve">Comment?</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2"/>
      </w:pPr>
      <w:bookmarkStart w:id="6" w:colFirst="0" w:name="h.19shgns2gcih" w:colLast="0"/>
      <w:bookmarkEnd w:id="6"/>
      <w:r w:rsidRPr="00000000" w:rsidR="00000000" w:rsidDel="00000000">
        <w:rPr>
          <w:rtl w:val="0"/>
        </w:rPr>
        <w:t xml:space="preserve">6- Conclusion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Référence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Loi sur l’instruction publique : </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t xml:space="preserve">L'élève, autre que celui inscrit aux services éducatifs pour les adultes, a droit à la gratuité des manuels scolaires et du matériel didactique requis pour l'enseignement des programmes d'études jusqu'au dernier jour du calendrier scolaire de l'année scolaire où il atteint l'âge de 18 ans, ou 21 ans dans le cas d'une personne handicapée au sens de la Loi assurant l'exercice des droits des personnes handicapées en vue de leur intégration scolaire, professionnelle et sociale (chapitre E-20.1). Cet élève dispose personnellement du manuel choisi, en application de l'article 96.15, pour chaque matière obligatoire et à option pour laquelle il reçoit un enseignement.</w:t>
      </w:r>
    </w:p>
    <w:p w:rsidP="00000000" w:rsidRPr="00000000" w:rsidR="00000000" w:rsidDel="00000000" w:rsidRDefault="00000000">
      <w:pPr/>
      <w:hyperlink r:id="rId29">
        <w:r w:rsidRPr="00000000" w:rsidR="00000000" w:rsidDel="00000000">
          <w:rPr>
            <w:color w:val="1155cc"/>
            <w:u w:val="single"/>
            <w:rtl w:val="0"/>
          </w:rPr>
          <w:t xml:space="preserve">http://www2.publicationsduquebec.gouv.qc.ca/dynamicSearch/telecharge.php?type=2&amp;file=/I_13_3/I13_3.html</w:t>
        </w:r>
      </w:hyperlink>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pBdr>
          <w:top w:color="auto" w:space="1" w:val="single" w:sz="4"/>
        </w:pBdr>
      </w:pPr>
    </w:p>
    <w:p w:rsidP="00000000" w:rsidRPr="00000000" w:rsidR="00000000" w:rsidDel="00000000" w:rsidRDefault="00000000">
      <w:pPr/>
      <w:r w:rsidRPr="00000000" w:rsidR="00000000" w:rsidDel="00000000">
        <w:rPr>
          <w:rtl w:val="0"/>
        </w:rPr>
      </w:r>
    </w:p>
    <w:p w:rsidP="00000000" w:rsidRPr="00000000" w:rsidR="00000000" w:rsidDel="00000000" w:rsidRDefault="00000000">
      <w:pPr>
        <w:pStyle w:val="Heading2"/>
      </w:pPr>
      <w:bookmarkStart w:id="7" w:colFirst="0" w:name="h.zafru3bibaa7" w:colLast="0"/>
      <w:bookmarkEnd w:id="7"/>
      <w:r w:rsidRPr="00000000" w:rsidR="00000000" w:rsidDel="00000000">
        <w:rPr>
          <w:rtl w:val="0"/>
        </w:rPr>
        <w:t xml:space="preserve">Ressources éducatives libres</w:t>
      </w:r>
    </w:p>
    <w:p w:rsidP="00000000" w:rsidRPr="00000000" w:rsidR="00000000" w:rsidDel="00000000" w:rsidRDefault="00000000">
      <w:pPr/>
      <w:r w:rsidRPr="00000000" w:rsidR="00000000" w:rsidDel="00000000">
        <w:rPr>
          <w:rtl w:val="0"/>
        </w:rPr>
      </w:r>
    </w:p>
    <w:p w:rsidP="00000000" w:rsidRPr="00000000" w:rsidR="00000000" w:rsidDel="00000000" w:rsidRDefault="00000000">
      <w:pPr/>
      <w:hyperlink r:id="rId30">
        <w:r w:rsidRPr="00000000" w:rsidR="00000000" w:rsidDel="00000000">
          <w:rPr>
            <w:color w:val="1155cc"/>
            <w:u w:val="single"/>
            <w:rtl w:val="0"/>
          </w:rPr>
          <w:t xml:space="preserve">http://recit.org/le-libre-c-est-plus</w:t>
        </w:r>
      </w:hyperlink>
      <w:r w:rsidRPr="00000000" w:rsidR="00000000" w:rsidDel="00000000">
        <w:rPr>
          <w:rtl w:val="0"/>
        </w:rPr>
        <w:t xml:space="preserve"> (plusieurs liens vers des ressources du RÉCIT)</w:t>
      </w:r>
      <w:r w:rsidRPr="00000000" w:rsidR="00000000" w:rsidDel="00000000">
        <w:rPr>
          <w:rtl w:val="0"/>
        </w:rPr>
      </w:r>
    </w:p>
    <w:p w:rsidP="00000000" w:rsidRPr="00000000" w:rsidR="00000000" w:rsidDel="00000000" w:rsidRDefault="00000000">
      <w:pPr/>
      <w:r w:rsidRPr="00000000" w:rsidR="00000000" w:rsidDel="00000000">
        <w:rPr>
          <w:rtl w:val="0"/>
        </w:rPr>
      </w:r>
    </w:p>
    <w:p w:rsidP="00000000" w:rsidRPr="00000000" w:rsidR="00000000" w:rsidDel="00000000" w:rsidRDefault="00000000">
      <w:pPr/>
      <w:hyperlink r:id="rId31">
        <w:r w:rsidRPr="00000000" w:rsidR="00000000" w:rsidDel="00000000">
          <w:rPr>
            <w:color w:val="1155cc"/>
            <w:u w:val="single"/>
            <w:rtl w:val="0"/>
          </w:rPr>
          <w:t xml:space="preserve">http://recit.csdecou.qc.ca/classeweb/ipad/blog/2013/05/livre-numerique-interactif/jecoute_mon_corps/</w:t>
        </w:r>
      </w:hyperlink>
      <w:r w:rsidRPr="00000000" w:rsidR="00000000" w:rsidDel="00000000">
        <w:rPr>
          <w:rtl w:val="0"/>
        </w:rPr>
        <w:t xml:space="preserve">  (livre numérique sous CC adapté par Annie Marois)</w:t>
      </w:r>
    </w:p>
    <w:p w:rsidP="00000000" w:rsidRPr="00000000" w:rsidR="00000000" w:rsidDel="00000000" w:rsidRDefault="00000000">
      <w:pPr/>
      <w:r w:rsidRPr="00000000" w:rsidR="00000000" w:rsidDel="00000000">
        <w:rPr>
          <w:rtl w:val="0"/>
        </w:rPr>
      </w:r>
    </w:p>
    <w:p w:rsidP="00000000" w:rsidRPr="00000000" w:rsidR="00000000" w:rsidDel="00000000" w:rsidRDefault="00000000">
      <w:pPr/>
      <w:r w:rsidRPr="00000000" w:rsidR="00000000" w:rsidDel="00000000">
        <w:rPr>
          <w:rtl w:val="0"/>
        </w:rPr>
      </w:r>
    </w:p>
    <w:sectPr>
      <w:pgSz w:w="12240" w:h="15840"/>
      <w:pgMar w:left="567" w:right="567" w:top="567" w:bottom="567"/>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comment w:id="1">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Pierre Lachance:</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On peut en trouver un plus cool.</w:t>
      </w:r>
    </w:p>
    <w:p w:rsidP="00000000" w:rsidRPr="00000000" w:rsidR="00000000" w:rsidDel="00000000" w:rsidRDefault="00000000">
      <w:pPr>
        <w:pBdr>
          <w:top w:color="auto" w:space="1" w:val="single" w:sz="4"/>
        </w:pBdr>
      </w:pP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Benoit Petit:</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Moi, je trouve ça hot! ;-)</w:t>
      </w:r>
    </w:p>
  </w:comment>
  <w:comment w:id="0">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Steve Quirion:</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ça va un peu dans collaboration tout ça, l'unesco propose une classification en 3 volets, je vais la présenter dans l'atelier,</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 Ressources d'apprentissage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Ressources de soutien pour les enseignants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Ressources pour assurer la qualité</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Voir ma diapo sur ça</w:t>
      </w:r>
    </w:p>
  </w:comment>
  <w:comment w:id="2">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Pierre Lachance:</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On pourrait mettre un site en place pour les répertorier??? Un Wordpress, avec mots-clés, à l'adresse recit.org/rel/ ???</w:t>
      </w:r>
    </w:p>
    <w:p w:rsidP="00000000" w:rsidRPr="00000000" w:rsidR="00000000" w:rsidDel="00000000" w:rsidRDefault="00000000">
      <w:pPr>
        <w:spacing w:lineRule="auto" w:after="0" w:line="240" w:before="0"/>
        <w:ind w:left="0" w:firstLine="0" w:right="0"/>
        <w:jc w:val="left"/>
      </w:pPr>
      <w:r w:rsidRPr="00000000" w:rsidR="00000000" w:rsidDel="00000000">
        <w:rPr>
          <w:rtl w:val="0"/>
        </w:rPr>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Autre suggestion pour faciliter la recherche de ces REL?</w:t>
      </w:r>
    </w:p>
    <w:p w:rsidP="00000000" w:rsidRPr="00000000" w:rsidR="00000000" w:rsidDel="00000000" w:rsidRDefault="00000000">
      <w:pPr>
        <w:pBdr>
          <w:top w:color="auto" w:space="1" w:val="single" w:sz="4"/>
        </w:pBdr>
      </w:pP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Steve Quirion:</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Je crois qu'on pourrait soumettre l'idée d'un outil lors de l'atelier, mais pas le mettre en place immédiatement.  Ça pourrait faire d'objet d'une discussion.  Ça nous empêche pas de mettre des ressources en commun lors de l'atelier celà-dit</w:t>
      </w:r>
    </w:p>
    <w:p w:rsidP="00000000" w:rsidRPr="00000000" w:rsidR="00000000" w:rsidDel="00000000" w:rsidRDefault="00000000">
      <w:pPr>
        <w:pBdr>
          <w:top w:color="auto" w:space="1" w:val="single" w:sz="4"/>
        </w:pBdr>
      </w:pP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Pierre Lachance:</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parfait!</w:t>
      </w:r>
    </w:p>
    <w:p w:rsidP="00000000" w:rsidRPr="00000000" w:rsidR="00000000" w:rsidDel="00000000" w:rsidRDefault="00000000">
      <w:pPr>
        <w:pBdr>
          <w:top w:color="auto" w:space="1" w:val="single" w:sz="4"/>
        </w:pBdr>
      </w:pP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Benoit Petit:</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Bonne idée que ce répertoire! Bonne idée de l'amorcer avec les participants. L'outil pourrait être encore plus ouvert comme un Google Doc...</w:t>
      </w:r>
    </w:p>
  </w:comment>
  <w:comment w:id="3">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Benoit Petit:</w:t>
      </w:r>
    </w:p>
    <w:p w:rsidP="00000000" w:rsidRPr="00000000" w:rsidR="00000000" w:rsidDel="00000000" w:rsidRDefault="00000000">
      <w:pPr>
        <w:spacing w:lineRule="auto" w:after="0" w:line="240" w:before="0"/>
        <w:ind w:left="0" w:firstLine="0" w:right="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Le dossier partagé du RÉCIT dans Google Doc permet d'organiser rapidement un espace de travail collectif.</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rebuchet MS"/>
  <w:font w:name="Arial"/>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4">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abstractNum w:abstractNumId="5">
    <w:lvl w:ilvl="0">
      <w:start w:val="1"/>
      <w:numFmt w:val="bullet"/>
      <w:lvlText w:val="●"/>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pPr>
    <w:rPr>
      <w:rFonts w:cs="Trebuchet MS" w:hAnsi="Trebuchet MS" w:eastAsia="Trebuchet MS" w:ascii="Trebuchet MS"/>
      <w:sz w:val="32"/>
    </w:rPr>
  </w:style>
  <w:style w:styleId="Heading2" w:type="paragraph">
    <w:name w:val="heading 2"/>
    <w:basedOn w:val="Normal"/>
    <w:next w:val="Normal"/>
    <w:pPr>
      <w:spacing w:lineRule="auto" w:after="0" w:before="200"/>
    </w:pPr>
    <w:rPr>
      <w:rFonts w:cs="Trebuchet MS" w:hAnsi="Trebuchet MS" w:eastAsia="Trebuchet MS" w:ascii="Trebuchet MS"/>
      <w:b w:val="1"/>
      <w:sz w:val="26"/>
    </w:rPr>
  </w:style>
  <w:style w:styleId="Heading3" w:type="paragraph">
    <w:name w:val="heading 3"/>
    <w:basedOn w:val="Normal"/>
    <w:next w:val="Normal"/>
    <w:pPr>
      <w:spacing w:lineRule="auto" w:after="0" w:before="160"/>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pPr>
    <w:rPr>
      <w:rFonts w:cs="Trebuchet MS" w:hAnsi="Trebuchet MS" w:eastAsia="Trebuchet MS" w:ascii="Trebuchet MS"/>
      <w:sz w:val="42"/>
    </w:rPr>
  </w:style>
  <w:style w:styleId="Subtitle" w:type="paragraph">
    <w:name w:val="Subtitle"/>
    <w:basedOn w:val="Normal"/>
    <w:next w:val="Normal"/>
    <w:pPr>
      <w:spacing w:lineRule="auto" w:after="200" w:before="0"/>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http://www.baladoweb.qc.ca/" Type="http://schemas.openxmlformats.org/officeDocument/2006/relationships/hyperlink" TargetMode="External" Id="rId19"/><Relationship Target="http://cameleon.tv/" Type="http://schemas.openxmlformats.org/officeDocument/2006/relationships/hyperlink" TargetMode="External" Id="rId18"/><Relationship Target="http://carrefour-education.qc.ca/multimedia/autres_suggestions" Type="http://schemas.openxmlformats.org/officeDocument/2006/relationships/hyperlink" TargetMode="External" Id="rId17"/><Relationship Target="http://monde.ccdmd.qc.ca/" Type="http://schemas.openxmlformats.org/officeDocument/2006/relationships/hyperlink" TargetMode="External" Id="rId16"/><Relationship Target="http://www.mccord-museum.qc.ca/fr/" Type="http://schemas.openxmlformats.org/officeDocument/2006/relationships/hyperlink" TargetMode="External" Id="rId15"/><Relationship Target="http://primaire.recitus.qc.ca/" Type="http://schemas.openxmlformats.org/officeDocument/2006/relationships/hyperlink" TargetMode="External" Id="rId14"/><Relationship Target="http://recit.org/le-libre-c-est-plus" Type="http://schemas.openxmlformats.org/officeDocument/2006/relationships/hyperlink" TargetMode="External" Id="rId30"/><Relationship Target="http://recitmst.qc.ca/BIL/" Type="http://schemas.openxmlformats.org/officeDocument/2006/relationships/hyperlink" TargetMode="External" Id="rId12"/><Relationship Target="http://recit.csdecou.qc.ca/classeweb/ipad/blog/2013/05/livre-numerique-interactif/jecoute_mon_corps/" Type="http://schemas.openxmlformats.org/officeDocument/2006/relationships/hyperlink" TargetMode="External" Id="rId31"/><Relationship Target="http://www.recitus.qc.ca/" Type="http://schemas.openxmlformats.org/officeDocument/2006/relationships/hyperlink" TargetMode="External" Id="rId13"/><Relationship Target="http://images.recitus.qc.ca/" Type="http://schemas.openxmlformats.org/officeDocument/2006/relationships/hyperlink" TargetMode="External" Id="rId10"/><Relationship Target="http://www.google.com/url?q=http%3A%2F%2Frecitpresco.qc.ca%2Fbanque-dimages-et-de-sons%2Fimages-du-service-national-du-recit-a-leducation-prescolaire&amp;sa=D&amp;sntz=1&amp;usg=AFQjCNGM-DdG9QbCdruEgCN8wNTw8xro1w" Type="http://schemas.openxmlformats.org/officeDocument/2006/relationships/hyperlink" TargetMode="External" Id="rId11"/><Relationship Target="http://www2.publicationsduquebec.gouv.qc.ca/dynamicSearch/telecharge.php?type=2&amp;file=/I_13_3/I13_3.html" Type="http://schemas.openxmlformats.org/officeDocument/2006/relationships/hyperlink" TargetMode="External" Id="rId29"/><Relationship Target="http://monurl.ca/" Type="http://schemas.openxmlformats.org/officeDocument/2006/relationships/hyperlink" TargetMode="External" Id="rId26"/><Relationship Target="http://recit.org/micro/" Type="http://schemas.openxmlformats.org/officeDocument/2006/relationships/hyperlink" TargetMode="External" Id="rId25"/><Relationship Target="http://www.ressourceslibres.com" Type="http://schemas.openxmlformats.org/officeDocument/2006/relationships/hyperlink" TargetMode="External" Id="rId28"/><Relationship Target="http://blogues.repertoireppo.qc.ca/fr/" Type="http://schemas.openxmlformats.org/officeDocument/2006/relationships/hyperlink" TargetMode="External" Id="rId27"/><Relationship Target="settings.xml" Type="http://schemas.openxmlformats.org/officeDocument/2006/relationships/settings" Id="rId2"/><Relationship Target="http://moodle.ticfga.ca/" Type="http://schemas.openxmlformats.org/officeDocument/2006/relationships/hyperlink" TargetMode="External" Id="rId21"/><Relationship Target="comments.xml" Type="http://schemas.openxmlformats.org/officeDocument/2006/relationships/comments" Id="rId1"/><Relationship Target="http://www.lignedutemps.qc.ca" Type="http://schemas.openxmlformats.org/officeDocument/2006/relationships/hyperlink" TargetMode="External" Id="rId22"/><Relationship Target="numbering.xml" Type="http://schemas.openxmlformats.org/officeDocument/2006/relationships/numbering" Id="rId4"/><Relationship Target="http://cartograf.recitus.qc.ca/" Type="http://schemas.openxmlformats.org/officeDocument/2006/relationships/hyperlink" TargetMode="External" Id="rId23"/><Relationship Target="fontTable.xml" Type="http://schemas.openxmlformats.org/officeDocument/2006/relationships/fontTable" Id="rId3"/><Relationship Target="http://www.cliquezpourmoi.qc.ca" Type="http://schemas.openxmlformats.org/officeDocument/2006/relationships/hyperlink" TargetMode="External" Id="rId24"/><Relationship Target="http://epad.recit.org" Type="http://schemas.openxmlformats.org/officeDocument/2006/relationships/hyperlink" TargetMode="External" Id="rId20"/><Relationship Target="http://recit.org/le-libre-c-est-plus" Type="http://schemas.openxmlformats.org/officeDocument/2006/relationships/hyperlink" TargetMode="External" Id="rId9"/><Relationship Target="https://docs.google.com/presentation/d/1DkBKaFVNQNk9onCXg7fXdCYcaGbWFFmmmc27TSFvrKg/edit?usp=sharing" Type="http://schemas.openxmlformats.org/officeDocument/2006/relationships/hyperlink" TargetMode="External" Id="rId6"/><Relationship Target="styles.xml" Type="http://schemas.openxmlformats.org/officeDocument/2006/relationships/styles" Id="rId5"/><Relationship Target="http://www.unesco.org/new/fr/communication-and-information/access-to-knowledge/open-educational-resources/" Type="http://schemas.openxmlformats.org/officeDocument/2006/relationships/hyperlink" TargetMode="External" Id="rId8"/><Relationship Target="http://fr.wikipedia.org/wiki/Ressources_%C3%A9ducatives_libres"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RDVirtuel 13 REL.docx</dc:title>
</cp:coreProperties>
</file>